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E7DB" w14:textId="77777777" w:rsidR="00E609C7" w:rsidRPr="00F315D3" w:rsidRDefault="00E609C7" w:rsidP="00E609C7">
      <w:pPr>
        <w:spacing w:after="160" w:line="259" w:lineRule="auto"/>
        <w:jc w:val="center"/>
        <w:rPr>
          <w:rFonts w:ascii="Times New Roman" w:eastAsia="Times New Roman" w:hAnsi="Times New Roman" w:cs="Times New Roman"/>
          <w:color w:val="000000"/>
          <w:sz w:val="27"/>
          <w:szCs w:val="27"/>
          <w:lang w:eastAsia="en-CA"/>
        </w:rPr>
      </w:pPr>
      <w:r w:rsidRPr="00F315D3">
        <w:rPr>
          <w:rFonts w:ascii="Comic Sans MS" w:hAnsi="Comic Sans MS"/>
          <w:b/>
          <w:bCs/>
          <w:color w:val="4472C4" w:themeColor="accent1"/>
          <w:sz w:val="28"/>
          <w:szCs w:val="28"/>
        </w:rPr>
        <w:t>INTRODUCTION TO THE 2024</w:t>
      </w:r>
    </w:p>
    <w:p w14:paraId="4DEF7F65" w14:textId="77777777" w:rsidR="00E609C7" w:rsidRDefault="00E609C7" w:rsidP="00E609C7">
      <w:pPr>
        <w:pStyle w:val="Heading1"/>
        <w:spacing w:after="0"/>
        <w:jc w:val="center"/>
        <w:rPr>
          <w:rFonts w:ascii="Comic Sans MS" w:hAnsi="Comic Sans MS"/>
          <w:color w:val="4472C4" w:themeColor="accent1"/>
          <w:sz w:val="28"/>
          <w:szCs w:val="28"/>
        </w:rPr>
      </w:pPr>
      <w:r w:rsidRPr="00213407">
        <w:rPr>
          <w:rFonts w:ascii="Comic Sans MS" w:hAnsi="Comic Sans MS"/>
          <w:color w:val="4472C4" w:themeColor="accent1"/>
          <w:sz w:val="28"/>
          <w:szCs w:val="28"/>
        </w:rPr>
        <w:t>CAPC AND CPNP PARTICIPANT SURVEYS</w:t>
      </w:r>
    </w:p>
    <w:p w14:paraId="77F7206D" w14:textId="77777777" w:rsidR="00E609C7" w:rsidRPr="00213407" w:rsidRDefault="00E609C7" w:rsidP="00E609C7"/>
    <w:p w14:paraId="5EA3F486" w14:textId="77777777" w:rsidR="00E609C7" w:rsidRPr="00213407" w:rsidRDefault="00E609C7" w:rsidP="00E609C7">
      <w:pPr>
        <w:pStyle w:val="Heading2"/>
        <w:spacing w:after="120"/>
        <w:rPr>
          <w:rFonts w:ascii="Comic Sans MS" w:hAnsi="Comic Sans MS"/>
          <w:color w:val="4472C4" w:themeColor="accent1"/>
          <w:sz w:val="26"/>
          <w:szCs w:val="26"/>
        </w:rPr>
      </w:pPr>
      <w:r w:rsidRPr="00213407">
        <w:rPr>
          <w:rFonts w:ascii="Comic Sans MS" w:hAnsi="Comic Sans MS"/>
          <w:color w:val="4472C4" w:themeColor="accent1"/>
          <w:sz w:val="26"/>
          <w:szCs w:val="26"/>
        </w:rPr>
        <w:t xml:space="preserve">What are the CAPC and CPNP Participant Surveys? </w:t>
      </w:r>
    </w:p>
    <w:p w14:paraId="52E8AD7E" w14:textId="77777777" w:rsidR="00E609C7" w:rsidRPr="00F26EC8" w:rsidRDefault="00E609C7" w:rsidP="00E609C7">
      <w:pPr>
        <w:pStyle w:val="ListParagraph"/>
        <w:numPr>
          <w:ilvl w:val="0"/>
          <w:numId w:val="2"/>
        </w:numPr>
        <w:rPr>
          <w:rFonts w:cstheme="minorHAnsi"/>
          <w:sz w:val="24"/>
          <w:szCs w:val="24"/>
        </w:rPr>
      </w:pPr>
      <w:r w:rsidRPr="005F1E2F">
        <w:rPr>
          <w:rFonts w:cstheme="minorHAnsi"/>
          <w:sz w:val="24"/>
          <w:szCs w:val="24"/>
        </w:rPr>
        <w:t xml:space="preserve">The CAPC and CPNP participant surveys are </w:t>
      </w:r>
      <w:r w:rsidRPr="00595885">
        <w:rPr>
          <w:rFonts w:cstheme="minorHAnsi"/>
          <w:sz w:val="24"/>
          <w:szCs w:val="24"/>
          <w:u w:val="single"/>
        </w:rPr>
        <w:t>online</w:t>
      </w:r>
      <w:r>
        <w:rPr>
          <w:rFonts w:cstheme="minorHAnsi"/>
          <w:sz w:val="24"/>
          <w:szCs w:val="24"/>
        </w:rPr>
        <w:t xml:space="preserve"> </w:t>
      </w:r>
      <w:r w:rsidRPr="005F1E2F">
        <w:rPr>
          <w:rFonts w:cstheme="minorHAnsi"/>
          <w:sz w:val="24"/>
          <w:szCs w:val="24"/>
        </w:rPr>
        <w:t>surveys that participants will be asked to complete.  They should take about 15 minutes to complete.</w:t>
      </w:r>
    </w:p>
    <w:p w14:paraId="43549B6E" w14:textId="77777777" w:rsidR="00E609C7" w:rsidRDefault="00E609C7" w:rsidP="00E609C7">
      <w:pPr>
        <w:pStyle w:val="ListParagraph"/>
        <w:numPr>
          <w:ilvl w:val="0"/>
          <w:numId w:val="2"/>
        </w:numPr>
        <w:rPr>
          <w:sz w:val="24"/>
          <w:szCs w:val="24"/>
        </w:rPr>
      </w:pPr>
      <w:r w:rsidRPr="3127354C">
        <w:rPr>
          <w:sz w:val="24"/>
          <w:szCs w:val="24"/>
        </w:rPr>
        <w:t>The surveys are designed to capture a demographic profile of participants as well as the ways in which participants and their infants/children have benefitted from the programs.</w:t>
      </w:r>
    </w:p>
    <w:p w14:paraId="1FDBB0F1" w14:textId="77777777" w:rsidR="00E609C7" w:rsidRPr="00417EDA" w:rsidRDefault="00E609C7" w:rsidP="00E609C7">
      <w:pPr>
        <w:pStyle w:val="ListParagraph"/>
        <w:numPr>
          <w:ilvl w:val="0"/>
          <w:numId w:val="2"/>
        </w:numPr>
        <w:rPr>
          <w:sz w:val="24"/>
          <w:szCs w:val="24"/>
        </w:rPr>
      </w:pPr>
      <w:r w:rsidRPr="3E8E3C34">
        <w:rPr>
          <w:sz w:val="24"/>
          <w:szCs w:val="24"/>
        </w:rPr>
        <w:t xml:space="preserve">This information will be used by PHAC to inform national program performance measurement reporting and as a source of evidence to inform the next national evaluation of the programs. </w:t>
      </w:r>
      <w:r w:rsidRPr="3E8E3C34">
        <w:rPr>
          <w:color w:val="000000" w:themeColor="text1"/>
          <w:sz w:val="24"/>
          <w:szCs w:val="24"/>
        </w:rPr>
        <w:t xml:space="preserve">The results will be analysed at a national and provincial/territorial level and a summary will be shared once complete.  The results will not be associated with or reflect on specific projects. </w:t>
      </w:r>
    </w:p>
    <w:p w14:paraId="4A1FC932" w14:textId="77777777" w:rsidR="00E609C7" w:rsidRPr="00637606" w:rsidRDefault="00E609C7" w:rsidP="00E609C7">
      <w:pPr>
        <w:rPr>
          <w:b/>
          <w:bCs/>
          <w:sz w:val="24"/>
          <w:szCs w:val="24"/>
        </w:rPr>
      </w:pPr>
      <w:r w:rsidRPr="00637606">
        <w:rPr>
          <w:rFonts w:ascii="Comic Sans MS" w:eastAsia="Comic Sans MS" w:hAnsi="Comic Sans MS" w:cs="Comic Sans MS"/>
          <w:b/>
          <w:bCs/>
          <w:color w:val="2F5496" w:themeColor="accent1" w:themeShade="BF"/>
          <w:sz w:val="26"/>
          <w:szCs w:val="26"/>
        </w:rPr>
        <w:t>What information do the surveys collect?</w:t>
      </w:r>
      <w:r w:rsidRPr="00637606">
        <w:rPr>
          <w:b/>
          <w:bCs/>
          <w:sz w:val="24"/>
          <w:szCs w:val="24"/>
        </w:rPr>
        <w:t xml:space="preserve"> </w:t>
      </w:r>
    </w:p>
    <w:p w14:paraId="40764D1E" w14:textId="77777777" w:rsidR="00E609C7" w:rsidRPr="00637606" w:rsidRDefault="00E609C7" w:rsidP="00E609C7">
      <w:pPr>
        <w:rPr>
          <w:b/>
          <w:bCs/>
          <w:sz w:val="24"/>
          <w:szCs w:val="24"/>
        </w:rPr>
      </w:pPr>
      <w:r w:rsidRPr="00637606">
        <w:rPr>
          <w:sz w:val="24"/>
          <w:szCs w:val="24"/>
        </w:rPr>
        <w:t>The surveys consist of the following sections:</w:t>
      </w:r>
    </w:p>
    <w:p w14:paraId="15795C75" w14:textId="77777777" w:rsidR="00E609C7" w:rsidRPr="00637606" w:rsidRDefault="00E609C7" w:rsidP="00E609C7">
      <w:pPr>
        <w:pStyle w:val="ListParagraph"/>
        <w:numPr>
          <w:ilvl w:val="0"/>
          <w:numId w:val="1"/>
        </w:numPr>
        <w:rPr>
          <w:rFonts w:eastAsiaTheme="minorEastAsia"/>
          <w:sz w:val="24"/>
          <w:szCs w:val="24"/>
        </w:rPr>
      </w:pPr>
      <w:r w:rsidRPr="00637606">
        <w:rPr>
          <w:rFonts w:eastAsiaTheme="minorEastAsia"/>
          <w:i/>
          <w:iCs/>
          <w:sz w:val="24"/>
          <w:szCs w:val="24"/>
        </w:rPr>
        <w:t>Program Participation</w:t>
      </w:r>
      <w:r w:rsidRPr="00637606">
        <w:rPr>
          <w:rFonts w:eastAsiaTheme="minorEastAsia"/>
          <w:sz w:val="24"/>
          <w:szCs w:val="24"/>
        </w:rPr>
        <w:t xml:space="preserve">: </w:t>
      </w:r>
      <w:r w:rsidRPr="00637606">
        <w:rPr>
          <w:rFonts w:eastAsiaTheme="minorEastAsia"/>
          <w:color w:val="000000" w:themeColor="text1"/>
          <w:sz w:val="24"/>
          <w:szCs w:val="24"/>
        </w:rPr>
        <w:t>Questions in this section ask about how long and how often participants have been involved in the program and the types of programs they have attended.</w:t>
      </w:r>
    </w:p>
    <w:p w14:paraId="6BDC9ED6" w14:textId="77777777" w:rsidR="00E609C7" w:rsidRPr="00637606" w:rsidRDefault="00E609C7" w:rsidP="00E609C7">
      <w:pPr>
        <w:pStyle w:val="ListParagraph"/>
        <w:numPr>
          <w:ilvl w:val="0"/>
          <w:numId w:val="1"/>
        </w:numPr>
        <w:rPr>
          <w:rFonts w:eastAsiaTheme="minorEastAsia"/>
          <w:color w:val="000000" w:themeColor="text1"/>
          <w:sz w:val="24"/>
          <w:szCs w:val="24"/>
        </w:rPr>
      </w:pPr>
      <w:r w:rsidRPr="00637606">
        <w:rPr>
          <w:rFonts w:eastAsiaTheme="minorEastAsia"/>
          <w:i/>
          <w:iCs/>
          <w:color w:val="000000" w:themeColor="text1"/>
          <w:sz w:val="24"/>
          <w:szCs w:val="24"/>
        </w:rPr>
        <w:t>Knowledge and Skills</w:t>
      </w:r>
      <w:r w:rsidRPr="00637606">
        <w:rPr>
          <w:rFonts w:eastAsiaTheme="minorEastAsia"/>
          <w:color w:val="000000" w:themeColor="text1"/>
          <w:sz w:val="24"/>
          <w:szCs w:val="24"/>
        </w:rPr>
        <w:t>:  Questions in this section ask about the extent to which participants have gained knowledge, skills, and positive health practices as a result of participating in the programs (e.g., parenting skills, healthy eating, child/infant safety, parent-child relationship, use of other programs and services, mental health, breastfeeding, knowledge of prenatal health practices).  The CAPC survey also asks about the knowledge and skills gained by the child participating in the program (e.g., comfort in social settings, learning new rhymes and songs, physical activity).</w:t>
      </w:r>
    </w:p>
    <w:p w14:paraId="09C669A3" w14:textId="77777777" w:rsidR="00E609C7" w:rsidRPr="00637606" w:rsidRDefault="00E609C7" w:rsidP="00E609C7">
      <w:pPr>
        <w:pStyle w:val="ListParagraph"/>
        <w:numPr>
          <w:ilvl w:val="0"/>
          <w:numId w:val="1"/>
        </w:numPr>
        <w:rPr>
          <w:rFonts w:eastAsiaTheme="minorEastAsia"/>
          <w:color w:val="000000" w:themeColor="text1"/>
          <w:sz w:val="24"/>
          <w:szCs w:val="24"/>
        </w:rPr>
      </w:pPr>
      <w:r w:rsidRPr="00637606">
        <w:rPr>
          <w:rFonts w:eastAsiaTheme="minorEastAsia"/>
          <w:i/>
          <w:iCs/>
          <w:color w:val="000000" w:themeColor="text1"/>
          <w:sz w:val="24"/>
          <w:szCs w:val="24"/>
        </w:rPr>
        <w:t>Experience of the Program:</w:t>
      </w:r>
      <w:r w:rsidRPr="00637606">
        <w:rPr>
          <w:rFonts w:eastAsiaTheme="minorEastAsia"/>
          <w:color w:val="000000" w:themeColor="text1"/>
          <w:sz w:val="24"/>
          <w:szCs w:val="24"/>
        </w:rPr>
        <w:t xml:space="preserve">  Questions in this section ask about the participants’ overall experience with the programs (e.g., the degree to which they felt welcomed and received valuable information).</w:t>
      </w:r>
    </w:p>
    <w:p w14:paraId="1BCF494A" w14:textId="77777777" w:rsidR="00E609C7" w:rsidRPr="00637606" w:rsidRDefault="00E609C7" w:rsidP="00E609C7">
      <w:pPr>
        <w:pStyle w:val="ListParagraph"/>
        <w:numPr>
          <w:ilvl w:val="0"/>
          <w:numId w:val="1"/>
        </w:numPr>
        <w:rPr>
          <w:rFonts w:ascii="Arial" w:eastAsia="Arial" w:hAnsi="Arial" w:cs="Arial"/>
          <w:color w:val="000000" w:themeColor="text1"/>
          <w:sz w:val="24"/>
          <w:szCs w:val="24"/>
        </w:rPr>
      </w:pPr>
      <w:r w:rsidRPr="00637606">
        <w:rPr>
          <w:rFonts w:eastAsiaTheme="minorEastAsia"/>
          <w:i/>
          <w:iCs/>
          <w:color w:val="000000" w:themeColor="text1"/>
          <w:sz w:val="24"/>
          <w:szCs w:val="24"/>
        </w:rPr>
        <w:t>Parent/Caregiver Information</w:t>
      </w:r>
      <w:r w:rsidRPr="00637606">
        <w:rPr>
          <w:rFonts w:eastAsiaTheme="minorEastAsia"/>
          <w:color w:val="000000" w:themeColor="text1"/>
          <w:sz w:val="24"/>
          <w:szCs w:val="24"/>
        </w:rPr>
        <w:t xml:space="preserve">:  This section consists of a series of demographic questions on characteristics such as province, gender, age, education and income. </w:t>
      </w:r>
    </w:p>
    <w:p w14:paraId="7A3B62C3" w14:textId="77777777" w:rsidR="00E609C7" w:rsidRPr="00637606" w:rsidRDefault="00E609C7" w:rsidP="00E609C7">
      <w:pPr>
        <w:pStyle w:val="ListParagraph"/>
        <w:numPr>
          <w:ilvl w:val="0"/>
          <w:numId w:val="1"/>
        </w:numPr>
        <w:rPr>
          <w:rFonts w:ascii="Arial" w:eastAsia="Arial" w:hAnsi="Arial" w:cs="Arial"/>
          <w:color w:val="000000" w:themeColor="text1"/>
        </w:rPr>
      </w:pPr>
      <w:r w:rsidRPr="00637606">
        <w:rPr>
          <w:rFonts w:eastAsiaTheme="minorEastAsia"/>
          <w:i/>
          <w:iCs/>
          <w:color w:val="000000" w:themeColor="text1"/>
          <w:sz w:val="24"/>
          <w:szCs w:val="24"/>
        </w:rPr>
        <w:t>Information on Pregnancy and Birth Outcomes (CPNP only)</w:t>
      </w:r>
      <w:r w:rsidRPr="00637606">
        <w:rPr>
          <w:rFonts w:eastAsiaTheme="minorEastAsia"/>
          <w:color w:val="000000" w:themeColor="text1"/>
          <w:sz w:val="24"/>
          <w:szCs w:val="24"/>
        </w:rPr>
        <w:t xml:space="preserve">:  This section asks participants about health behaviours, namely, smoking and drinking alcohol during pregnancy, birth outcomes and breastfeeding initiation. </w:t>
      </w:r>
      <w:r w:rsidRPr="00637606">
        <w:rPr>
          <w:rFonts w:ascii="Arial" w:eastAsia="Arial" w:hAnsi="Arial" w:cs="Arial"/>
          <w:color w:val="000000" w:themeColor="text1"/>
        </w:rPr>
        <w:t xml:space="preserve"> </w:t>
      </w:r>
    </w:p>
    <w:p w14:paraId="5348CC99" w14:textId="77777777" w:rsidR="00E609C7" w:rsidRDefault="00E609C7" w:rsidP="00E609C7">
      <w:pPr>
        <w:spacing w:before="96" w:after="0"/>
        <w:rPr>
          <w:rFonts w:ascii="Comic Sans MS" w:hAnsi="Comic Sans MS"/>
          <w:b/>
          <w:bCs/>
          <w:color w:val="4472C4" w:themeColor="accent1"/>
          <w:sz w:val="26"/>
          <w:szCs w:val="26"/>
        </w:rPr>
      </w:pPr>
      <w:r w:rsidRPr="3127354C">
        <w:rPr>
          <w:rFonts w:ascii="Comic Sans MS" w:hAnsi="Comic Sans MS"/>
          <w:b/>
          <w:bCs/>
          <w:color w:val="4472C4" w:themeColor="accent1"/>
          <w:sz w:val="26"/>
          <w:szCs w:val="26"/>
        </w:rPr>
        <w:lastRenderedPageBreak/>
        <w:t>How many CAPC and CPNP projects will participate in the surveys?</w:t>
      </w:r>
    </w:p>
    <w:p w14:paraId="3E2C17D1" w14:textId="77777777" w:rsidR="00E609C7" w:rsidRPr="00E609C7" w:rsidRDefault="00E609C7" w:rsidP="00E609C7">
      <w:pPr>
        <w:spacing w:after="0"/>
        <w:rPr>
          <w:rFonts w:ascii="Comic Sans MS" w:hAnsi="Comic Sans MS"/>
          <w:b/>
          <w:bCs/>
          <w:color w:val="4472C4" w:themeColor="accent1"/>
          <w:sz w:val="18"/>
          <w:szCs w:val="18"/>
        </w:rPr>
      </w:pPr>
    </w:p>
    <w:p w14:paraId="2ADDE9DE" w14:textId="77777777" w:rsidR="00E609C7" w:rsidRPr="00F26EC8" w:rsidRDefault="00E609C7" w:rsidP="00E609C7">
      <w:pPr>
        <w:pStyle w:val="ListParagraph"/>
        <w:numPr>
          <w:ilvl w:val="0"/>
          <w:numId w:val="3"/>
        </w:numPr>
        <w:spacing w:after="120"/>
        <w:ind w:left="360"/>
        <w:rPr>
          <w:b/>
          <w:bCs/>
          <w:sz w:val="24"/>
          <w:szCs w:val="24"/>
          <w:u w:val="single"/>
        </w:rPr>
      </w:pPr>
      <w:r w:rsidRPr="33727521">
        <w:rPr>
          <w:sz w:val="24"/>
          <w:szCs w:val="24"/>
        </w:rPr>
        <w:t>All CAPC and CPNP projects providing direct programming to participants will be asked to promote the completion of the program specific surveys (e.g., CAPC and/or CPNP survey).</w:t>
      </w:r>
    </w:p>
    <w:p w14:paraId="1E61ACC9" w14:textId="77777777" w:rsidR="00E609C7" w:rsidRPr="00213407" w:rsidRDefault="00E609C7" w:rsidP="00E609C7">
      <w:pPr>
        <w:spacing w:after="120"/>
        <w:rPr>
          <w:rFonts w:ascii="Comic Sans MS" w:hAnsi="Comic Sans MS"/>
          <w:b/>
          <w:bCs/>
          <w:color w:val="4472C4" w:themeColor="accent1"/>
          <w:sz w:val="26"/>
          <w:szCs w:val="26"/>
        </w:rPr>
      </w:pPr>
      <w:r w:rsidRPr="33727521">
        <w:rPr>
          <w:rFonts w:ascii="Comic Sans MS" w:hAnsi="Comic Sans MS"/>
          <w:b/>
          <w:bCs/>
          <w:color w:val="4471C4"/>
          <w:sz w:val="26"/>
          <w:szCs w:val="26"/>
        </w:rPr>
        <w:t xml:space="preserve">When and how will the survey be implemented? </w:t>
      </w:r>
    </w:p>
    <w:p w14:paraId="242E6B45" w14:textId="77777777" w:rsidR="00E609C7" w:rsidRDefault="00E609C7" w:rsidP="00E609C7">
      <w:pPr>
        <w:pStyle w:val="ListParagraph"/>
        <w:numPr>
          <w:ilvl w:val="0"/>
          <w:numId w:val="2"/>
        </w:numPr>
        <w:spacing w:after="120"/>
        <w:ind w:left="473"/>
        <w:rPr>
          <w:sz w:val="24"/>
          <w:szCs w:val="24"/>
        </w:rPr>
      </w:pPr>
      <w:r w:rsidRPr="33727521">
        <w:rPr>
          <w:sz w:val="24"/>
          <w:szCs w:val="24"/>
        </w:rPr>
        <w:t>Materials to help projects promote the surveys will be developed and shared with projects prior to implementation.  In addition, projects will receive a brief data collection guide and will have access to training sessions.</w:t>
      </w:r>
    </w:p>
    <w:p w14:paraId="23D5FE26" w14:textId="77777777" w:rsidR="00E609C7" w:rsidRDefault="00E609C7" w:rsidP="00E609C7">
      <w:pPr>
        <w:pStyle w:val="ListParagraph"/>
        <w:numPr>
          <w:ilvl w:val="0"/>
          <w:numId w:val="2"/>
        </w:numPr>
        <w:spacing w:after="120"/>
        <w:ind w:left="473"/>
        <w:rPr>
          <w:sz w:val="24"/>
          <w:szCs w:val="24"/>
        </w:rPr>
      </w:pPr>
      <w:r w:rsidRPr="2C223107">
        <w:rPr>
          <w:sz w:val="24"/>
          <w:szCs w:val="24"/>
        </w:rPr>
        <w:t xml:space="preserve">Projects will be asked to actively promote the completion of the surveys for approximately one month in Spring 2024. Currently the plan is to </w:t>
      </w:r>
      <w:r w:rsidRPr="2C223107">
        <w:rPr>
          <w:rStyle w:val="cf01"/>
          <w:sz w:val="24"/>
          <w:szCs w:val="24"/>
        </w:rPr>
        <w:t xml:space="preserve">launch the survey in May 2024. </w:t>
      </w:r>
      <w:r w:rsidRPr="2C223107">
        <w:rPr>
          <w:sz w:val="24"/>
          <w:szCs w:val="24"/>
        </w:rPr>
        <w:t xml:space="preserve">Exact timing will be confirmed over the coming months. </w:t>
      </w:r>
    </w:p>
    <w:p w14:paraId="6383C79A" w14:textId="77777777" w:rsidR="00E609C7" w:rsidRPr="0019431A" w:rsidRDefault="00E609C7" w:rsidP="00E609C7">
      <w:pPr>
        <w:pStyle w:val="ListParagraph"/>
        <w:numPr>
          <w:ilvl w:val="0"/>
          <w:numId w:val="2"/>
        </w:numPr>
        <w:spacing w:after="120"/>
        <w:ind w:left="473"/>
        <w:rPr>
          <w:rFonts w:cstheme="minorHAnsi"/>
          <w:sz w:val="24"/>
          <w:szCs w:val="24"/>
        </w:rPr>
      </w:pPr>
      <w:r w:rsidRPr="2C223107">
        <w:rPr>
          <w:sz w:val="24"/>
          <w:szCs w:val="24"/>
        </w:rPr>
        <w:t xml:space="preserve">Participants will be able to complete the survey online.  It can be completed during programming or at another time.  Further details are in development and will be shared with projects prior to implementation. </w:t>
      </w:r>
    </w:p>
    <w:p w14:paraId="518D49F1" w14:textId="77777777" w:rsidR="00E609C7" w:rsidRDefault="00E609C7" w:rsidP="00E609C7">
      <w:pPr>
        <w:pStyle w:val="ListParagraph"/>
        <w:numPr>
          <w:ilvl w:val="0"/>
          <w:numId w:val="2"/>
        </w:numPr>
        <w:ind w:left="473"/>
        <w:rPr>
          <w:sz w:val="24"/>
          <w:szCs w:val="24"/>
        </w:rPr>
      </w:pPr>
      <w:r w:rsidRPr="2C223107">
        <w:rPr>
          <w:sz w:val="24"/>
          <w:szCs w:val="24"/>
        </w:rPr>
        <w:t xml:space="preserve">The surveys are intended to be completed by the participant on their own; however, there may be instances when project staff may need to provide assistance (such as helping to read the survey and/or in translating or interpreting the questions). </w:t>
      </w:r>
    </w:p>
    <w:p w14:paraId="345A8B14" w14:textId="77777777" w:rsidR="00E609C7" w:rsidRPr="00213407" w:rsidRDefault="00E609C7" w:rsidP="00E609C7">
      <w:pPr>
        <w:pStyle w:val="Heading1"/>
        <w:spacing w:after="120"/>
        <w:rPr>
          <w:rFonts w:ascii="Comic Sans MS" w:hAnsi="Comic Sans MS" w:cstheme="minorHAnsi"/>
          <w:color w:val="4472C4" w:themeColor="accent1"/>
          <w:sz w:val="26"/>
          <w:szCs w:val="26"/>
        </w:rPr>
      </w:pPr>
      <w:r w:rsidRPr="00213407">
        <w:rPr>
          <w:rFonts w:ascii="Comic Sans MS" w:hAnsi="Comic Sans MS"/>
          <w:color w:val="4472C4" w:themeColor="accent1"/>
          <w:sz w:val="26"/>
          <w:szCs w:val="26"/>
        </w:rPr>
        <w:t>What will happen next?</w:t>
      </w:r>
    </w:p>
    <w:p w14:paraId="109640A8" w14:textId="77777777" w:rsidR="00E609C7" w:rsidRPr="00226521" w:rsidRDefault="00E609C7" w:rsidP="00E609C7">
      <w:pPr>
        <w:pStyle w:val="ListParagraph"/>
        <w:numPr>
          <w:ilvl w:val="0"/>
          <w:numId w:val="4"/>
        </w:numPr>
        <w:spacing w:after="120"/>
        <w:ind w:left="417"/>
        <w:rPr>
          <w:sz w:val="24"/>
          <w:szCs w:val="24"/>
        </w:rPr>
      </w:pPr>
      <w:r w:rsidRPr="0019431A">
        <w:rPr>
          <w:sz w:val="24"/>
          <w:szCs w:val="24"/>
        </w:rPr>
        <w:t>Further updates will be provided over the upcoming months</w:t>
      </w:r>
      <w:r>
        <w:rPr>
          <w:sz w:val="24"/>
          <w:szCs w:val="24"/>
        </w:rPr>
        <w:t xml:space="preserve"> to inform you of additional details.</w:t>
      </w:r>
    </w:p>
    <w:p w14:paraId="47E1E5F4" w14:textId="77777777" w:rsidR="00E609C7" w:rsidRDefault="00E609C7"/>
    <w:sectPr w:rsidR="00E609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3200"/>
    <w:multiLevelType w:val="hybridMultilevel"/>
    <w:tmpl w:val="C8F85262"/>
    <w:lvl w:ilvl="0" w:tplc="10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 w15:restartNumberingAfterBreak="0">
    <w:nsid w:val="496F7B4F"/>
    <w:multiLevelType w:val="hybridMultilevel"/>
    <w:tmpl w:val="8D1E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54CF9"/>
    <w:multiLevelType w:val="hybridMultilevel"/>
    <w:tmpl w:val="3252CB5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F6EBB"/>
    <w:multiLevelType w:val="hybridMultilevel"/>
    <w:tmpl w:val="4956C354"/>
    <w:lvl w:ilvl="0" w:tplc="E59EA596">
      <w:start w:val="1"/>
      <w:numFmt w:val="bullet"/>
      <w:lvlText w:val=""/>
      <w:lvlJc w:val="left"/>
      <w:pPr>
        <w:ind w:left="720" w:hanging="360"/>
      </w:pPr>
      <w:rPr>
        <w:rFonts w:ascii="Symbol" w:hAnsi="Symbol" w:hint="default"/>
      </w:rPr>
    </w:lvl>
    <w:lvl w:ilvl="1" w:tplc="E5EAC432">
      <w:start w:val="1"/>
      <w:numFmt w:val="bullet"/>
      <w:lvlText w:val="o"/>
      <w:lvlJc w:val="left"/>
      <w:pPr>
        <w:ind w:left="1440" w:hanging="360"/>
      </w:pPr>
      <w:rPr>
        <w:rFonts w:ascii="Courier New" w:hAnsi="Courier New" w:hint="default"/>
      </w:rPr>
    </w:lvl>
    <w:lvl w:ilvl="2" w:tplc="60E0D230">
      <w:start w:val="1"/>
      <w:numFmt w:val="bullet"/>
      <w:lvlText w:val=""/>
      <w:lvlJc w:val="left"/>
      <w:pPr>
        <w:ind w:left="2160" w:hanging="360"/>
      </w:pPr>
      <w:rPr>
        <w:rFonts w:ascii="Wingdings" w:hAnsi="Wingdings" w:hint="default"/>
      </w:rPr>
    </w:lvl>
    <w:lvl w:ilvl="3" w:tplc="36BE5E62">
      <w:start w:val="1"/>
      <w:numFmt w:val="bullet"/>
      <w:lvlText w:val=""/>
      <w:lvlJc w:val="left"/>
      <w:pPr>
        <w:ind w:left="2880" w:hanging="360"/>
      </w:pPr>
      <w:rPr>
        <w:rFonts w:ascii="Symbol" w:hAnsi="Symbol" w:hint="default"/>
      </w:rPr>
    </w:lvl>
    <w:lvl w:ilvl="4" w:tplc="4594BEAE">
      <w:start w:val="1"/>
      <w:numFmt w:val="bullet"/>
      <w:lvlText w:val="o"/>
      <w:lvlJc w:val="left"/>
      <w:pPr>
        <w:ind w:left="3600" w:hanging="360"/>
      </w:pPr>
      <w:rPr>
        <w:rFonts w:ascii="Courier New" w:hAnsi="Courier New" w:hint="default"/>
      </w:rPr>
    </w:lvl>
    <w:lvl w:ilvl="5" w:tplc="B16E64DA">
      <w:start w:val="1"/>
      <w:numFmt w:val="bullet"/>
      <w:lvlText w:val=""/>
      <w:lvlJc w:val="left"/>
      <w:pPr>
        <w:ind w:left="4320" w:hanging="360"/>
      </w:pPr>
      <w:rPr>
        <w:rFonts w:ascii="Wingdings" w:hAnsi="Wingdings" w:hint="default"/>
      </w:rPr>
    </w:lvl>
    <w:lvl w:ilvl="6" w:tplc="72802460">
      <w:start w:val="1"/>
      <w:numFmt w:val="bullet"/>
      <w:lvlText w:val=""/>
      <w:lvlJc w:val="left"/>
      <w:pPr>
        <w:ind w:left="5040" w:hanging="360"/>
      </w:pPr>
      <w:rPr>
        <w:rFonts w:ascii="Symbol" w:hAnsi="Symbol" w:hint="default"/>
      </w:rPr>
    </w:lvl>
    <w:lvl w:ilvl="7" w:tplc="BF14EEE6">
      <w:start w:val="1"/>
      <w:numFmt w:val="bullet"/>
      <w:lvlText w:val="o"/>
      <w:lvlJc w:val="left"/>
      <w:pPr>
        <w:ind w:left="5760" w:hanging="360"/>
      </w:pPr>
      <w:rPr>
        <w:rFonts w:ascii="Courier New" w:hAnsi="Courier New" w:hint="default"/>
      </w:rPr>
    </w:lvl>
    <w:lvl w:ilvl="8" w:tplc="863E602E">
      <w:start w:val="1"/>
      <w:numFmt w:val="bullet"/>
      <w:lvlText w:val=""/>
      <w:lvlJc w:val="left"/>
      <w:pPr>
        <w:ind w:left="6480" w:hanging="360"/>
      </w:pPr>
      <w:rPr>
        <w:rFonts w:ascii="Wingdings" w:hAnsi="Wingdings" w:hint="default"/>
      </w:rPr>
    </w:lvl>
  </w:abstractNum>
  <w:num w:numId="1" w16cid:durableId="1053654182">
    <w:abstractNumId w:val="3"/>
  </w:num>
  <w:num w:numId="2" w16cid:durableId="48890326">
    <w:abstractNumId w:val="0"/>
  </w:num>
  <w:num w:numId="3" w16cid:durableId="568077279">
    <w:abstractNumId w:val="2"/>
  </w:num>
  <w:num w:numId="4" w16cid:durableId="1243025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C7"/>
    <w:rsid w:val="000A0072"/>
    <w:rsid w:val="005E0F4B"/>
    <w:rsid w:val="00780A74"/>
    <w:rsid w:val="007A1E73"/>
    <w:rsid w:val="007B548F"/>
    <w:rsid w:val="00B15223"/>
    <w:rsid w:val="00B405F1"/>
    <w:rsid w:val="00B67BA5"/>
    <w:rsid w:val="00DF434A"/>
    <w:rsid w:val="00E609C7"/>
    <w:rsid w:val="00FD64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3D5F"/>
  <w15:chartTrackingRefBased/>
  <w15:docId w15:val="{9EBD8D12-2246-475C-AC06-D6D4CA02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9C7"/>
    <w:pPr>
      <w:spacing w:after="200" w:line="276" w:lineRule="auto"/>
    </w:pPr>
    <w:rPr>
      <w:kern w:val="0"/>
      <w14:ligatures w14:val="none"/>
    </w:rPr>
  </w:style>
  <w:style w:type="paragraph" w:styleId="Heading1">
    <w:name w:val="heading 1"/>
    <w:basedOn w:val="Normal"/>
    <w:next w:val="Normal"/>
    <w:link w:val="Heading1Char"/>
    <w:uiPriority w:val="9"/>
    <w:qFormat/>
    <w:rsid w:val="00E609C7"/>
    <w:pPr>
      <w:keepNext/>
      <w:outlineLvl w:val="0"/>
    </w:pPr>
    <w:rPr>
      <w:b/>
    </w:rPr>
  </w:style>
  <w:style w:type="paragraph" w:styleId="Heading2">
    <w:name w:val="heading 2"/>
    <w:basedOn w:val="Normal"/>
    <w:next w:val="Normal"/>
    <w:link w:val="Heading2Char"/>
    <w:uiPriority w:val="9"/>
    <w:unhideWhenUsed/>
    <w:qFormat/>
    <w:rsid w:val="00E609C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9C7"/>
    <w:rPr>
      <w:b/>
      <w:kern w:val="0"/>
      <w14:ligatures w14:val="none"/>
    </w:rPr>
  </w:style>
  <w:style w:type="character" w:customStyle="1" w:styleId="Heading2Char">
    <w:name w:val="Heading 2 Char"/>
    <w:basedOn w:val="DefaultParagraphFont"/>
    <w:link w:val="Heading2"/>
    <w:uiPriority w:val="9"/>
    <w:rsid w:val="00E609C7"/>
    <w:rPr>
      <w:b/>
      <w:kern w:val="0"/>
      <w:sz w:val="28"/>
      <w14:ligatures w14:val="none"/>
    </w:rPr>
  </w:style>
  <w:style w:type="paragraph" w:styleId="ListParagraph">
    <w:name w:val="List Paragraph"/>
    <w:basedOn w:val="Normal"/>
    <w:uiPriority w:val="34"/>
    <w:qFormat/>
    <w:rsid w:val="00E609C7"/>
    <w:pPr>
      <w:ind w:left="720"/>
      <w:contextualSpacing/>
    </w:pPr>
  </w:style>
  <w:style w:type="character" w:customStyle="1" w:styleId="cf01">
    <w:name w:val="cf01"/>
    <w:basedOn w:val="DefaultParagraphFont"/>
    <w:rsid w:val="00E609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3034</Characters>
  <Application>Microsoft Office Word</Application>
  <DocSecurity>0</DocSecurity>
  <Lines>25</Lines>
  <Paragraphs>7</Paragraphs>
  <ScaleCrop>false</ScaleCrop>
  <Company>HC-PHAC - SC-ASPC</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Kenton, Nicole (PHAC/ASPC)</dc:creator>
  <cp:keywords/>
  <dc:description/>
  <cp:lastModifiedBy>Kenton, Nicole (PHAC/ASPC)</cp:lastModifiedBy>
  <cp:revision>2</cp:revision>
  <dcterms:created xsi:type="dcterms:W3CDTF">2024-02-14T13:05:00Z</dcterms:created>
  <dcterms:modified xsi:type="dcterms:W3CDTF">2024-02-14T13:05:00Z</dcterms:modified>
</cp:coreProperties>
</file>